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0FB8" w14:textId="6785E407" w:rsidR="00C54DF3" w:rsidRDefault="00C54DF3" w:rsidP="00273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AD086B" w14:textId="77777777" w:rsidR="00273DF1" w:rsidRDefault="00273DF1" w:rsidP="00273D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A9109D4" w14:textId="77777777" w:rsidR="00273DF1" w:rsidRDefault="00273DF1" w:rsidP="00273D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C628803" w14:textId="77777777" w:rsidR="00273DF1" w:rsidRDefault="00273DF1" w:rsidP="00273D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28DF18" w14:textId="77777777" w:rsidR="00273DF1" w:rsidRDefault="00273DF1" w:rsidP="00273D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3F35F2" w14:textId="77777777" w:rsidR="00273DF1" w:rsidRDefault="00273DF1" w:rsidP="00273D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689DBF4" w14:textId="5303A0DE" w:rsidR="00C54DF3" w:rsidRDefault="00C54DF3" w:rsidP="00273D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4DF3">
        <w:rPr>
          <w:rFonts w:ascii="Times New Roman" w:hAnsi="Times New Roman" w:cs="Times New Roman"/>
          <w:sz w:val="24"/>
          <w:szCs w:val="24"/>
        </w:rPr>
        <w:t>Warszawa, 1 września 2025 r.</w:t>
      </w:r>
    </w:p>
    <w:p w14:paraId="0CB6D943" w14:textId="77777777" w:rsidR="00C54DF3" w:rsidRPr="00C54DF3" w:rsidRDefault="00C54DF3" w:rsidP="00273D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B0D797" w14:textId="6EFFE42D" w:rsidR="00C54DF3" w:rsidRPr="00C54DF3" w:rsidRDefault="00C54DF3" w:rsidP="00273D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DF3">
        <w:rPr>
          <w:rFonts w:ascii="Times New Roman" w:hAnsi="Times New Roman" w:cs="Times New Roman"/>
          <w:b/>
          <w:bCs/>
          <w:sz w:val="26"/>
          <w:szCs w:val="26"/>
        </w:rPr>
        <w:t>Informacje o działaniach i inicjatywach</w:t>
      </w:r>
    </w:p>
    <w:p w14:paraId="47B480DD" w14:textId="69E17E8B" w:rsidR="00C54DF3" w:rsidRPr="00C54DF3" w:rsidRDefault="00C54DF3" w:rsidP="00273D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DF3">
        <w:rPr>
          <w:rFonts w:ascii="Times New Roman" w:hAnsi="Times New Roman" w:cs="Times New Roman"/>
          <w:b/>
          <w:bCs/>
          <w:sz w:val="26"/>
          <w:szCs w:val="26"/>
        </w:rPr>
        <w:t>podejmowanych na Wydziale Historii UW</w:t>
      </w:r>
    </w:p>
    <w:p w14:paraId="5F34599F" w14:textId="0AC07F6E" w:rsidR="00C54DF3" w:rsidRPr="00C54DF3" w:rsidRDefault="00C54DF3" w:rsidP="00273D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DF3">
        <w:rPr>
          <w:rFonts w:ascii="Times New Roman" w:hAnsi="Times New Roman" w:cs="Times New Roman"/>
          <w:b/>
          <w:bCs/>
          <w:sz w:val="26"/>
          <w:szCs w:val="26"/>
        </w:rPr>
        <w:t xml:space="preserve">w obszarze równości, różnorodności, </w:t>
      </w:r>
      <w:proofErr w:type="spellStart"/>
      <w:r w:rsidRPr="00C54DF3">
        <w:rPr>
          <w:rFonts w:ascii="Times New Roman" w:hAnsi="Times New Roman" w:cs="Times New Roman"/>
          <w:b/>
          <w:bCs/>
          <w:sz w:val="26"/>
          <w:szCs w:val="26"/>
        </w:rPr>
        <w:t>inkluzywności</w:t>
      </w:r>
      <w:proofErr w:type="spellEnd"/>
    </w:p>
    <w:p w14:paraId="504A1A0F" w14:textId="43EDE4F5" w:rsidR="00C54DF3" w:rsidRDefault="00C54DF3" w:rsidP="00273D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DF3">
        <w:rPr>
          <w:rFonts w:ascii="Times New Roman" w:hAnsi="Times New Roman" w:cs="Times New Roman"/>
          <w:b/>
          <w:bCs/>
          <w:sz w:val="26"/>
          <w:szCs w:val="26"/>
        </w:rPr>
        <w:t>oraz wspierania komfortu pracy i studiowania.</w:t>
      </w:r>
    </w:p>
    <w:p w14:paraId="1875637F" w14:textId="77777777" w:rsidR="00C54DF3" w:rsidRPr="00C54DF3" w:rsidRDefault="00C54DF3" w:rsidP="00273D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2407135" w14:textId="77777777" w:rsidR="00C54DF3" w:rsidRPr="00A3604C" w:rsidRDefault="00C54DF3" w:rsidP="00273DF1">
      <w:pPr>
        <w:pStyle w:val="Nagwek2"/>
        <w:rPr>
          <w:sz w:val="24"/>
          <w:szCs w:val="24"/>
        </w:rPr>
      </w:pPr>
      <w:r w:rsidRPr="00A3604C">
        <w:rPr>
          <w:sz w:val="24"/>
          <w:szCs w:val="24"/>
        </w:rPr>
        <w:t>1. Równość i różnorodność</w:t>
      </w:r>
    </w:p>
    <w:p w14:paraId="2D43F577" w14:textId="77777777" w:rsidR="00C54DF3" w:rsidRPr="00A3604C" w:rsidRDefault="00C54DF3" w:rsidP="00273DF1">
      <w:pPr>
        <w:pStyle w:val="NormalnyWeb"/>
        <w:numPr>
          <w:ilvl w:val="0"/>
          <w:numId w:val="1"/>
        </w:numPr>
      </w:pPr>
      <w:r>
        <w:rPr>
          <w:rStyle w:val="Pogrubienie"/>
        </w:rPr>
        <w:t xml:space="preserve">Wydziałowy </w:t>
      </w:r>
      <w:r w:rsidRPr="00A3604C">
        <w:rPr>
          <w:rStyle w:val="Pogrubienie"/>
        </w:rPr>
        <w:t>Pełnomocnik ds. przeciwdziałania dyskryminacji</w:t>
      </w:r>
      <w:r w:rsidRPr="00A3604C">
        <w:t xml:space="preserve"> – zapewnia poufne i bezpłatne wsparcie w przypadkach dyskryminacji, </w:t>
      </w:r>
      <w:proofErr w:type="spellStart"/>
      <w:r w:rsidRPr="00A3604C">
        <w:t>mobbingu</w:t>
      </w:r>
      <w:proofErr w:type="spellEnd"/>
      <w:r w:rsidRPr="00A3604C">
        <w:t xml:space="preserve"> i molestowania.</w:t>
      </w:r>
    </w:p>
    <w:p w14:paraId="232CAFC6" w14:textId="77777777" w:rsidR="00C54DF3" w:rsidRPr="00A3604C" w:rsidRDefault="00C54DF3" w:rsidP="00273DF1">
      <w:pPr>
        <w:pStyle w:val="NormalnyWeb"/>
        <w:numPr>
          <w:ilvl w:val="0"/>
          <w:numId w:val="1"/>
        </w:numPr>
      </w:pPr>
      <w:r w:rsidRPr="00A3604C">
        <w:rPr>
          <w:rStyle w:val="Pogrubienie"/>
        </w:rPr>
        <w:t>Tutor dla studentów w spektrum autyzmu</w:t>
      </w:r>
      <w:r w:rsidRPr="00A3604C">
        <w:t xml:space="preserve"> – wspiera studentów w zakresie spraw organizacyjnych i formalnych. Z pomocy można korzystać bez konieczności posiadania formalnej diagnozy.</w:t>
      </w:r>
    </w:p>
    <w:p w14:paraId="045FF4BB" w14:textId="77777777" w:rsidR="00C54DF3" w:rsidRPr="00A3604C" w:rsidRDefault="00C54DF3" w:rsidP="00273DF1">
      <w:pPr>
        <w:pStyle w:val="NormalnyWeb"/>
        <w:numPr>
          <w:ilvl w:val="0"/>
          <w:numId w:val="1"/>
        </w:numPr>
      </w:pPr>
      <w:r w:rsidRPr="00A3604C">
        <w:rPr>
          <w:rStyle w:val="Pogrubienie"/>
        </w:rPr>
        <w:t>Materiały i poradniki antydyskryminacyjne</w:t>
      </w:r>
      <w:r w:rsidRPr="00A3604C">
        <w:t xml:space="preserve"> – na stronie Wydziału i w przestrzeniach ogólnodostępnych udostępniane są informatory, m.in. </w:t>
      </w:r>
      <w:r w:rsidRPr="00A3604C">
        <w:rPr>
          <w:rStyle w:val="Uwydatnienie"/>
        </w:rPr>
        <w:t>„Jak mówić i pisać o grupach mniejszościowych”</w:t>
      </w:r>
      <w:r w:rsidRPr="00A3604C">
        <w:rPr>
          <w:i/>
          <w:iCs/>
        </w:rPr>
        <w:t xml:space="preserve">, </w:t>
      </w:r>
      <w:r w:rsidRPr="00A3604C">
        <w:rPr>
          <w:rStyle w:val="Uwydatnienie"/>
        </w:rPr>
        <w:t>„Przeciwdziałanie molestowaniu seksualnemu na uczelni”</w:t>
      </w:r>
      <w:r w:rsidRPr="00A3604C">
        <w:rPr>
          <w:i/>
          <w:iCs/>
        </w:rPr>
        <w:t xml:space="preserve">, </w:t>
      </w:r>
      <w:r w:rsidRPr="00A3604C">
        <w:rPr>
          <w:rStyle w:val="Uwydatnienie"/>
        </w:rPr>
        <w:t>„Antydyskryminacyjny poradnik UW”</w:t>
      </w:r>
      <w:r w:rsidRPr="00A3604C">
        <w:rPr>
          <w:i/>
          <w:iCs/>
        </w:rPr>
        <w:t xml:space="preserve"> </w:t>
      </w:r>
      <w:r w:rsidRPr="00A3604C">
        <w:t xml:space="preserve">(PL/ENG), poradnik nt. języka niedyskryminującego, a także informacje o kampanii </w:t>
      </w:r>
      <w:r w:rsidRPr="00A3604C">
        <w:rPr>
          <w:rStyle w:val="Uwydatnienie"/>
        </w:rPr>
        <w:t>„Wszyscy jesteśmy Równoważni”</w:t>
      </w:r>
      <w:r w:rsidRPr="00A3604C">
        <w:rPr>
          <w:i/>
          <w:iCs/>
        </w:rPr>
        <w:t xml:space="preserve">. </w:t>
      </w:r>
      <w:r w:rsidRPr="00A3604C">
        <w:t>Na korytarzach regularnie pojawiają się także bieżące materiały informacyjne, co jest szczególnie istotne, gdy pojawiają się nowi studenci.</w:t>
      </w:r>
    </w:p>
    <w:p w14:paraId="703C6D71" w14:textId="77777777" w:rsidR="00C54DF3" w:rsidRPr="00A3604C" w:rsidRDefault="00C54DF3" w:rsidP="00273DF1">
      <w:pPr>
        <w:pStyle w:val="Nagwek2"/>
        <w:rPr>
          <w:sz w:val="24"/>
          <w:szCs w:val="24"/>
        </w:rPr>
      </w:pPr>
      <w:r w:rsidRPr="00A3604C">
        <w:rPr>
          <w:sz w:val="24"/>
          <w:szCs w:val="24"/>
        </w:rPr>
        <w:t>2. Zrównoważona reprezentacja płci</w:t>
      </w:r>
    </w:p>
    <w:p w14:paraId="593F7B24" w14:textId="77777777" w:rsidR="00C54DF3" w:rsidRPr="00A3604C" w:rsidRDefault="00C54DF3" w:rsidP="00273DF1">
      <w:pPr>
        <w:pStyle w:val="NormalnyWeb"/>
        <w:numPr>
          <w:ilvl w:val="0"/>
          <w:numId w:val="2"/>
        </w:numPr>
      </w:pPr>
      <w:r w:rsidRPr="00A3604C">
        <w:rPr>
          <w:rStyle w:val="Pogrubienie"/>
        </w:rPr>
        <w:t>Promocja kobiet w nauce</w:t>
      </w:r>
      <w:r w:rsidRPr="00A3604C">
        <w:t xml:space="preserve"> – Wydział konsekwentnie dąży do zapewnienia reprezentacji obu płci w gronie prelegentów podczas organizowanych konferencji, paneli i wydarzeń naukowych</w:t>
      </w:r>
      <w:r>
        <w:t>, a także w powoływanych ad hoc gremiach, np. Komisjach konkursowych.</w:t>
      </w:r>
    </w:p>
    <w:p w14:paraId="7363EDEA" w14:textId="77777777" w:rsidR="00C54DF3" w:rsidRPr="00A3604C" w:rsidRDefault="00C54DF3" w:rsidP="00273DF1">
      <w:pPr>
        <w:pStyle w:val="NormalnyWeb"/>
        <w:numPr>
          <w:ilvl w:val="0"/>
          <w:numId w:val="2"/>
        </w:numPr>
      </w:pPr>
      <w:r w:rsidRPr="00A3604C">
        <w:rPr>
          <w:rStyle w:val="Pogrubienie"/>
        </w:rPr>
        <w:t xml:space="preserve">Seminarium Historii </w:t>
      </w:r>
      <w:proofErr w:type="spellStart"/>
      <w:r w:rsidRPr="00A3604C">
        <w:rPr>
          <w:rStyle w:val="Pogrubienie"/>
        </w:rPr>
        <w:t>Gender</w:t>
      </w:r>
      <w:proofErr w:type="spellEnd"/>
      <w:r w:rsidRPr="00A3604C">
        <w:rPr>
          <w:rStyle w:val="Pogrubienie"/>
        </w:rPr>
        <w:t xml:space="preserve"> prowadzone na Wydziale </w:t>
      </w:r>
      <w:r w:rsidRPr="00A3604C">
        <w:t>od 2017 r. Spotkania mają otwartą, niehierarchiczną formułę i stanowią przestrzeń do dyskusji nad projektami badawczymi, artykułami, książkami oraz wydarzeniami kulturalnymi dotyczącymi relacji między płcią, historią i przeszłością.</w:t>
      </w:r>
    </w:p>
    <w:p w14:paraId="5BAB220B" w14:textId="77777777" w:rsidR="00C54DF3" w:rsidRPr="00A3604C" w:rsidRDefault="00C54DF3" w:rsidP="00273DF1">
      <w:pPr>
        <w:pStyle w:val="Nagwek2"/>
        <w:rPr>
          <w:sz w:val="24"/>
          <w:szCs w:val="24"/>
        </w:rPr>
      </w:pPr>
      <w:r w:rsidRPr="00A3604C">
        <w:rPr>
          <w:sz w:val="24"/>
          <w:szCs w:val="24"/>
        </w:rPr>
        <w:t xml:space="preserve">3. </w:t>
      </w:r>
      <w:proofErr w:type="spellStart"/>
      <w:r w:rsidRPr="00A3604C">
        <w:rPr>
          <w:sz w:val="24"/>
          <w:szCs w:val="24"/>
        </w:rPr>
        <w:t>Work</w:t>
      </w:r>
      <w:proofErr w:type="spellEnd"/>
      <w:r w:rsidRPr="00A3604C">
        <w:rPr>
          <w:sz w:val="24"/>
          <w:szCs w:val="24"/>
        </w:rPr>
        <w:t xml:space="preserve">–life </w:t>
      </w:r>
      <w:proofErr w:type="spellStart"/>
      <w:r w:rsidRPr="00A3604C">
        <w:rPr>
          <w:sz w:val="24"/>
          <w:szCs w:val="24"/>
        </w:rPr>
        <w:t>balance</w:t>
      </w:r>
      <w:proofErr w:type="spellEnd"/>
      <w:r w:rsidRPr="00A3604C">
        <w:rPr>
          <w:sz w:val="24"/>
          <w:szCs w:val="24"/>
        </w:rPr>
        <w:t xml:space="preserve"> i komfort pracy</w:t>
      </w:r>
    </w:p>
    <w:p w14:paraId="4F45D989" w14:textId="77777777" w:rsidR="00C54DF3" w:rsidRPr="00A3604C" w:rsidRDefault="00C54DF3" w:rsidP="00273DF1">
      <w:pPr>
        <w:pStyle w:val="NormalnyWeb"/>
        <w:numPr>
          <w:ilvl w:val="0"/>
          <w:numId w:val="3"/>
        </w:numPr>
      </w:pPr>
      <w:r w:rsidRPr="00A3604C">
        <w:rPr>
          <w:rStyle w:val="Pogrubienie"/>
        </w:rPr>
        <w:t>Elastyczne formy pracy</w:t>
      </w:r>
      <w:r w:rsidRPr="00A3604C">
        <w:t xml:space="preserve"> – stosowane wobec pracowników administracyjnych w uzasadnionych przypadkach (np. możliwość stałej pracy hybrydowej, dostosowanie godzin rozpoczęcia i zakończenia pracy w innym przedziale niż 8.00–16.00).</w:t>
      </w:r>
    </w:p>
    <w:p w14:paraId="358B399E" w14:textId="77777777" w:rsidR="00C54DF3" w:rsidRPr="00C54DF3" w:rsidRDefault="00C54DF3" w:rsidP="00273DF1">
      <w:pPr>
        <w:pStyle w:val="NormalnyWeb"/>
        <w:ind w:left="360"/>
        <w:rPr>
          <w:rStyle w:val="Pogrubienie"/>
          <w:b w:val="0"/>
          <w:bCs w:val="0"/>
        </w:rPr>
      </w:pPr>
    </w:p>
    <w:p w14:paraId="45B738EE" w14:textId="392E2037" w:rsidR="00C54DF3" w:rsidRPr="00A3604C" w:rsidRDefault="00C54DF3" w:rsidP="00273DF1">
      <w:pPr>
        <w:pStyle w:val="NormalnyWeb"/>
        <w:numPr>
          <w:ilvl w:val="0"/>
          <w:numId w:val="3"/>
        </w:numPr>
      </w:pPr>
      <w:proofErr w:type="spellStart"/>
      <w:r w:rsidRPr="00A3604C">
        <w:rPr>
          <w:rStyle w:val="Pogrubienie"/>
        </w:rPr>
        <w:lastRenderedPageBreak/>
        <w:t>Common</w:t>
      </w:r>
      <w:proofErr w:type="spellEnd"/>
      <w:r w:rsidRPr="00A3604C">
        <w:rPr>
          <w:rStyle w:val="Pogrubienie"/>
        </w:rPr>
        <w:t xml:space="preserve"> </w:t>
      </w:r>
      <w:proofErr w:type="spellStart"/>
      <w:r w:rsidRPr="00A3604C">
        <w:rPr>
          <w:rStyle w:val="Pogrubienie"/>
        </w:rPr>
        <w:t>Room</w:t>
      </w:r>
      <w:proofErr w:type="spellEnd"/>
      <w:r w:rsidRPr="00A3604C">
        <w:rPr>
          <w:rStyle w:val="Pogrubienie"/>
        </w:rPr>
        <w:t xml:space="preserve"> (pokój socjalny dla studentów)</w:t>
      </w:r>
      <w:r w:rsidRPr="00A3604C">
        <w:t xml:space="preserve"> – przestrzeń do odpoczynku i integracji, wyposażona m.in. w kuchenkę mikrofalową, czajnik, ekspres do kawy.</w:t>
      </w:r>
    </w:p>
    <w:p w14:paraId="210FEC56" w14:textId="77777777" w:rsidR="00C54DF3" w:rsidRPr="00A3604C" w:rsidRDefault="00C54DF3" w:rsidP="00273DF1">
      <w:pPr>
        <w:pStyle w:val="NormalnyWeb"/>
        <w:numPr>
          <w:ilvl w:val="0"/>
          <w:numId w:val="3"/>
        </w:numPr>
      </w:pPr>
      <w:r w:rsidRPr="00A3604C">
        <w:rPr>
          <w:rStyle w:val="Pogrubienie"/>
        </w:rPr>
        <w:t>Przestrzeń socjalna dla pracowników</w:t>
      </w:r>
      <w:r w:rsidRPr="00A3604C">
        <w:t xml:space="preserve"> – w pełni wyposażona w zasoby potrzebne do organizacji przerw w pracy (w tym nietypowe udogodnienia, np. kostkarka do lodu).</w:t>
      </w:r>
    </w:p>
    <w:p w14:paraId="7AEA6BF7" w14:textId="77777777" w:rsidR="00C54DF3" w:rsidRPr="00A3604C" w:rsidRDefault="00C54DF3" w:rsidP="00273DF1">
      <w:pPr>
        <w:pStyle w:val="NormalnyWeb"/>
        <w:numPr>
          <w:ilvl w:val="0"/>
          <w:numId w:val="3"/>
        </w:numPr>
      </w:pPr>
      <w:r w:rsidRPr="00A3604C">
        <w:rPr>
          <w:rStyle w:val="Pogrubienie"/>
        </w:rPr>
        <w:t>Strefa wyciszenia</w:t>
      </w:r>
      <w:r w:rsidRPr="00A3604C">
        <w:t xml:space="preserve"> – przygotowana dla osób potrzebujących odpoczynku i regeneracji.</w:t>
      </w:r>
    </w:p>
    <w:p w14:paraId="62F9F295" w14:textId="04B8C9A9" w:rsidR="00C54DF3" w:rsidRPr="00C54DF3" w:rsidRDefault="00C54DF3" w:rsidP="00273DF1">
      <w:pPr>
        <w:pStyle w:val="NormalnyWeb"/>
        <w:numPr>
          <w:ilvl w:val="0"/>
          <w:numId w:val="3"/>
        </w:numPr>
        <w:rPr>
          <w:rStyle w:val="Pogrubienie"/>
          <w:b w:val="0"/>
          <w:bCs w:val="0"/>
        </w:rPr>
      </w:pPr>
      <w:r w:rsidRPr="00A3604C">
        <w:rPr>
          <w:rStyle w:val="Pogrubienie"/>
        </w:rPr>
        <w:t xml:space="preserve">Automaty z przekąskami, z kawą oraz </w:t>
      </w:r>
      <w:proofErr w:type="spellStart"/>
      <w:r w:rsidRPr="00A3604C">
        <w:rPr>
          <w:rStyle w:val="Pogrubienie"/>
        </w:rPr>
        <w:t>obiadomat</w:t>
      </w:r>
      <w:proofErr w:type="spellEnd"/>
      <w:r w:rsidRPr="00A3604C">
        <w:t xml:space="preserve"> – dostępne w przestrzeni ogólnodostępnej.</w:t>
      </w:r>
    </w:p>
    <w:p w14:paraId="50DABC92" w14:textId="737ECFE1" w:rsidR="00C54DF3" w:rsidRDefault="00C54DF3" w:rsidP="00273DF1">
      <w:pPr>
        <w:pStyle w:val="NormalnyWeb"/>
        <w:numPr>
          <w:ilvl w:val="0"/>
          <w:numId w:val="3"/>
        </w:numPr>
      </w:pPr>
      <w:r w:rsidRPr="00A3604C">
        <w:rPr>
          <w:rStyle w:val="Pogrubienie"/>
        </w:rPr>
        <w:t>Korytarzowe przestrzenie studenckie</w:t>
      </w:r>
      <w:r w:rsidRPr="00A3604C">
        <w:t xml:space="preserve"> – wyposażone w kanapy i pufy, które sprzyjają integracji oraz nieformalnym spotkaniom studentów.</w:t>
      </w:r>
    </w:p>
    <w:p w14:paraId="72810D65" w14:textId="77777777" w:rsidR="00C54DF3" w:rsidRPr="00A3604C" w:rsidRDefault="00C54DF3" w:rsidP="00273DF1">
      <w:pPr>
        <w:pStyle w:val="NormalnyWeb"/>
        <w:numPr>
          <w:ilvl w:val="0"/>
          <w:numId w:val="3"/>
        </w:numPr>
      </w:pPr>
      <w:r>
        <w:rPr>
          <w:rStyle w:val="Pogrubienie"/>
        </w:rPr>
        <w:t>Wsparcie dla pracowników</w:t>
      </w:r>
      <w:r w:rsidRPr="00A27889">
        <w:rPr>
          <w:b/>
          <w:bCs/>
        </w:rPr>
        <w:t>–rodziców</w:t>
      </w:r>
      <w:r>
        <w:t xml:space="preserve"> – władze wydziału starają się elastycznie podchodzić do możliwości ułatwienia funkcjonowania zatrudnionych na wydziale rodziców. Formą tego jest np. przeniesienie odbywania godziny Rady Wydziału z tradycyjnej 16:00 na 13:30, by umożliwić udział pracowników, podczas funkcjonowania instytucji opieki nad dziećmi (żłobki, przedszkola).</w:t>
      </w:r>
    </w:p>
    <w:p w14:paraId="5BEBCC28" w14:textId="77777777" w:rsidR="00C54DF3" w:rsidRPr="00A3604C" w:rsidRDefault="00C54DF3" w:rsidP="00273DF1">
      <w:pPr>
        <w:pStyle w:val="Nagwek2"/>
        <w:rPr>
          <w:sz w:val="24"/>
          <w:szCs w:val="24"/>
        </w:rPr>
      </w:pPr>
      <w:r w:rsidRPr="00A3604C">
        <w:rPr>
          <w:sz w:val="24"/>
          <w:szCs w:val="24"/>
        </w:rPr>
        <w:t>4. Infrastruktura opiekuńcza i bezpieczeństwo</w:t>
      </w:r>
    </w:p>
    <w:p w14:paraId="00040D1A" w14:textId="77777777" w:rsidR="00C54DF3" w:rsidRPr="00A3604C" w:rsidRDefault="00C54DF3" w:rsidP="00273DF1">
      <w:pPr>
        <w:pStyle w:val="NormalnyWeb"/>
        <w:numPr>
          <w:ilvl w:val="0"/>
          <w:numId w:val="4"/>
        </w:numPr>
      </w:pPr>
      <w:r w:rsidRPr="00A3604C">
        <w:rPr>
          <w:rStyle w:val="Pogrubienie"/>
        </w:rPr>
        <w:t>Defibrylator AED</w:t>
      </w:r>
      <w:r w:rsidRPr="00A3604C">
        <w:t xml:space="preserve"> – dostępny w budynku Wydziału, umożliwia natychmiastową reakcję w sytuacjach zagrożenia życia.</w:t>
      </w:r>
    </w:p>
    <w:p w14:paraId="36774782" w14:textId="77777777" w:rsidR="00C54DF3" w:rsidRPr="00A3604C" w:rsidRDefault="00C54DF3" w:rsidP="00273DF1">
      <w:pPr>
        <w:pStyle w:val="NormalnyWeb"/>
        <w:numPr>
          <w:ilvl w:val="0"/>
          <w:numId w:val="4"/>
        </w:numPr>
      </w:pPr>
      <w:r w:rsidRPr="00A3604C">
        <w:rPr>
          <w:rStyle w:val="Pogrubienie"/>
        </w:rPr>
        <w:t>Krzesło ewakuacyjne</w:t>
      </w:r>
      <w:r w:rsidRPr="00A3604C">
        <w:t xml:space="preserve"> – zapewnia możliwość bezpiecznej ewakuacji osób z niepełnosprawnościami w sytuacjach awaryjnych.</w:t>
      </w:r>
    </w:p>
    <w:p w14:paraId="18FF0E63" w14:textId="77777777" w:rsidR="00C54DF3" w:rsidRPr="00A3604C" w:rsidRDefault="00C54DF3" w:rsidP="00273DF1">
      <w:pPr>
        <w:pStyle w:val="NormalnyWeb"/>
        <w:numPr>
          <w:ilvl w:val="0"/>
          <w:numId w:val="4"/>
        </w:numPr>
      </w:pPr>
      <w:r w:rsidRPr="00A3604C">
        <w:rPr>
          <w:rStyle w:val="Pogrubienie"/>
        </w:rPr>
        <w:t>Przewijak dla niemowląt</w:t>
      </w:r>
      <w:r w:rsidRPr="00A3604C">
        <w:t xml:space="preserve"> – zainstalowany w toalecie na parterze, dostępny dla rodziców odwiedzających Wydział.</w:t>
      </w:r>
    </w:p>
    <w:p w14:paraId="0BD7AA3C" w14:textId="77777777" w:rsidR="00C54DF3" w:rsidRPr="00A3604C" w:rsidRDefault="00C54DF3" w:rsidP="00273DF1">
      <w:pPr>
        <w:pStyle w:val="NormalnyWeb"/>
        <w:numPr>
          <w:ilvl w:val="0"/>
          <w:numId w:val="4"/>
        </w:numPr>
      </w:pPr>
      <w:r w:rsidRPr="00A3604C">
        <w:rPr>
          <w:rStyle w:val="Pogrubienie"/>
        </w:rPr>
        <w:t>Apteczki pierwszej pomocy</w:t>
      </w:r>
      <w:r w:rsidRPr="00A3604C">
        <w:t xml:space="preserve"> – sześć apteczek rozmieszczonych w budynku zwiększa poczucie bezpieczeństwa społeczności akademickiej.</w:t>
      </w:r>
    </w:p>
    <w:p w14:paraId="6BAA7119" w14:textId="77777777" w:rsidR="00C54DF3" w:rsidRPr="00A3604C" w:rsidRDefault="00C54DF3" w:rsidP="00273DF1">
      <w:pPr>
        <w:pStyle w:val="NormalnyWeb"/>
        <w:numPr>
          <w:ilvl w:val="0"/>
          <w:numId w:val="4"/>
        </w:numPr>
      </w:pPr>
      <w:r w:rsidRPr="00A3604C">
        <w:rPr>
          <w:rStyle w:val="Pogrubienie"/>
        </w:rPr>
        <w:t>Różowe skrzyneczki</w:t>
      </w:r>
      <w:r w:rsidRPr="00A3604C">
        <w:t xml:space="preserve"> – we wszystkich damskich toaletach (także w toalecie dla osób z niepełnosprawnościami) znajdują się bezpłatne środki higieny menstruacyjnej. Wydział ponosi koszt ich bieżącego uzupełniania.</w:t>
      </w:r>
    </w:p>
    <w:p w14:paraId="04C1B9DB" w14:textId="77777777" w:rsidR="00C54DF3" w:rsidRPr="00A3604C" w:rsidRDefault="00C54DF3" w:rsidP="00273DF1">
      <w:pPr>
        <w:pStyle w:val="Nagwek2"/>
        <w:rPr>
          <w:sz w:val="24"/>
          <w:szCs w:val="24"/>
        </w:rPr>
      </w:pPr>
      <w:r w:rsidRPr="00A3604C">
        <w:rPr>
          <w:sz w:val="24"/>
          <w:szCs w:val="24"/>
        </w:rPr>
        <w:t>5. Zrównoważony rozwój i ekologia</w:t>
      </w:r>
    </w:p>
    <w:p w14:paraId="1703BE15" w14:textId="77777777" w:rsidR="00C54DF3" w:rsidRPr="00A3604C" w:rsidRDefault="00C54DF3" w:rsidP="00273DF1">
      <w:pPr>
        <w:pStyle w:val="NormalnyWeb"/>
        <w:numPr>
          <w:ilvl w:val="0"/>
          <w:numId w:val="5"/>
        </w:numPr>
      </w:pPr>
      <w:r w:rsidRPr="00A3604C">
        <w:rPr>
          <w:rStyle w:val="Pogrubienie"/>
        </w:rPr>
        <w:t>Papier makulaturowy</w:t>
      </w:r>
      <w:r w:rsidRPr="00A3604C">
        <w:t xml:space="preserve"> – w znaczącym zakresie wykorzystywany w pracy administracyjnej.</w:t>
      </w:r>
    </w:p>
    <w:p w14:paraId="059FF5F6" w14:textId="77777777" w:rsidR="00C54DF3" w:rsidRPr="00A3604C" w:rsidRDefault="00C54DF3" w:rsidP="00273DF1">
      <w:pPr>
        <w:pStyle w:val="NormalnyWeb"/>
        <w:numPr>
          <w:ilvl w:val="0"/>
          <w:numId w:val="5"/>
        </w:numPr>
      </w:pPr>
      <w:r w:rsidRPr="00A3604C">
        <w:rPr>
          <w:rStyle w:val="Pogrubienie"/>
        </w:rPr>
        <w:t>Dzbanki filtrujące wodę</w:t>
      </w:r>
      <w:r w:rsidRPr="00A3604C">
        <w:t xml:space="preserve"> – stosowane w pokojach administracji, co znacząco ograniczyło zużycie plastikowych butelek.</w:t>
      </w:r>
    </w:p>
    <w:p w14:paraId="64AB9909" w14:textId="77777777" w:rsidR="00C54DF3" w:rsidRPr="00A3604C" w:rsidRDefault="00C54DF3" w:rsidP="00273DF1">
      <w:pPr>
        <w:pStyle w:val="NormalnyWeb"/>
        <w:numPr>
          <w:ilvl w:val="0"/>
          <w:numId w:val="5"/>
        </w:numPr>
      </w:pPr>
      <w:r w:rsidRPr="00A3604C">
        <w:rPr>
          <w:rStyle w:val="Pogrubienie"/>
        </w:rPr>
        <w:t>Segregacja odpadów</w:t>
      </w:r>
      <w:r w:rsidRPr="00A3604C">
        <w:t xml:space="preserve"> – w budynku dostępne są kosze z wydzielonymi komorami do selektywnej zbiórki.</w:t>
      </w:r>
    </w:p>
    <w:p w14:paraId="261AD0BA" w14:textId="77777777" w:rsidR="00C54DF3" w:rsidRPr="00A3604C" w:rsidRDefault="00C54DF3" w:rsidP="00273DF1">
      <w:pPr>
        <w:pStyle w:val="Nagwek2"/>
        <w:rPr>
          <w:sz w:val="24"/>
          <w:szCs w:val="24"/>
        </w:rPr>
      </w:pPr>
      <w:r w:rsidRPr="00A3604C">
        <w:rPr>
          <w:sz w:val="24"/>
          <w:szCs w:val="24"/>
        </w:rPr>
        <w:t>6. Wsparcie ogólnouniwersyteckie</w:t>
      </w:r>
    </w:p>
    <w:p w14:paraId="52BE86A6" w14:textId="113146D7" w:rsidR="00C54DF3" w:rsidRDefault="00C54DF3" w:rsidP="00273DF1">
      <w:pPr>
        <w:pStyle w:val="NormalnyWeb"/>
      </w:pPr>
      <w:r w:rsidRPr="00A3604C">
        <w:t>Społeczność Wydziału korzysta także z systemowego wsparcia oferowanego przez Uniwersytet Warszawski, m.in. Ombudsmana, Centrum Pomocy Psychologicznej czy Biura ds. Osób z Niepełnosprawnościami.</w:t>
      </w:r>
    </w:p>
    <w:sectPr w:rsidR="00C54DF3" w:rsidSect="00273DF1">
      <w:headerReference w:type="default" r:id="rId7"/>
      <w:footerReference w:type="default" r:id="rId8"/>
      <w:headerReference w:type="first" r:id="rId9"/>
      <w:pgSz w:w="11906" w:h="16838"/>
      <w:pgMar w:top="1560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9C3F" w14:textId="77777777" w:rsidR="00385D78" w:rsidRDefault="00385D78" w:rsidP="000C6A39">
      <w:pPr>
        <w:spacing w:after="0" w:line="240" w:lineRule="auto"/>
      </w:pPr>
      <w:r>
        <w:separator/>
      </w:r>
    </w:p>
  </w:endnote>
  <w:endnote w:type="continuationSeparator" w:id="0">
    <w:p w14:paraId="7E8BA6A1" w14:textId="77777777" w:rsidR="00385D78" w:rsidRDefault="00385D78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52EB" w14:textId="77777777" w:rsidR="00BF5021" w:rsidRDefault="00BF5021">
    <w:pPr>
      <w:pStyle w:val="Stopka"/>
    </w:pPr>
    <w:r w:rsidRPr="00BF502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542819" wp14:editId="1A9D873E">
              <wp:simplePos x="0" y="0"/>
              <wp:positionH relativeFrom="column">
                <wp:posOffset>1028065</wp:posOffset>
              </wp:positionH>
              <wp:positionV relativeFrom="paragraph">
                <wp:posOffset>-219075</wp:posOffset>
              </wp:positionV>
              <wp:extent cx="4650740" cy="67818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678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517F1" w14:textId="77777777" w:rsidR="00BD04D5" w:rsidRPr="00A647D6" w:rsidRDefault="00BD04D5" w:rsidP="00BD04D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bookmarkStart w:id="0" w:name="_Hlk50628520"/>
                          <w:bookmarkStart w:id="1" w:name="_Hlk50628521"/>
                          <w:bookmarkStart w:id="2" w:name="_Hlk50628522"/>
                          <w:bookmarkStart w:id="3" w:name="_Hlk50628523"/>
                          <w:r w:rsidRPr="00A647D6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ul. Krakowskie Przedmieście 26/28, 00-927 W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arszawa</w:t>
                          </w:r>
                        </w:p>
                        <w:p w14:paraId="09945564" w14:textId="77777777" w:rsidR="00BD04D5" w:rsidRPr="00C47783" w:rsidRDefault="00BD04D5" w:rsidP="00BD04D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 w:rsidRPr="00C47783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 (+48) 22 55 20</w:t>
                          </w:r>
                          <w:r w:rsidR="002B3F09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 </w:t>
                          </w:r>
                          <w:r w:rsidRPr="00C47783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415</w:t>
                          </w:r>
                          <w:r w:rsidR="002B3F09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, </w:t>
                          </w:r>
                          <w:r w:rsidR="004B14B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(+48) </w:t>
                          </w:r>
                          <w:r w:rsidR="002B3F09" w:rsidRPr="002B3F09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22 55 24 528</w:t>
                          </w:r>
                        </w:p>
                        <w:p w14:paraId="1A9C92D4" w14:textId="77777777" w:rsidR="00BD04D5" w:rsidRPr="002B3F09" w:rsidRDefault="00BD04D5" w:rsidP="00BD04D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 w:rsidRPr="002B3F09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 w:rsidRPr="002B3F09">
                              <w:rPr>
                                <w:rStyle w:val="Hipercze"/>
                                <w:rFonts w:ascii="Arimo" w:hAnsi="Arimo" w:cs="Arimo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dziekanat.wh@uw.edu.pl</w:t>
                            </w:r>
                          </w:hyperlink>
                          <w:bookmarkEnd w:id="0"/>
                          <w:bookmarkEnd w:id="1"/>
                          <w:bookmarkEnd w:id="2"/>
                          <w:bookmarkEnd w:id="3"/>
                          <w:r w:rsidRPr="002B3F09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br/>
                            <w:t>www.historia.uw.edu.pl</w:t>
                          </w:r>
                        </w:p>
                        <w:p w14:paraId="03B99D05" w14:textId="77777777" w:rsidR="00BF5021" w:rsidRPr="002B3F09" w:rsidRDefault="00BF5021" w:rsidP="00BF5021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428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95pt;margin-top:-17.25pt;width:366.2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" filled="f" stroked="f">
              <v:textbox>
                <w:txbxContent>
                  <w:p w14:paraId="65A517F1" w14:textId="77777777" w:rsidR="00BD04D5" w:rsidRPr="00A647D6" w:rsidRDefault="00BD04D5" w:rsidP="00BD04D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bookmarkStart w:id="4" w:name="_Hlk50628520"/>
                    <w:bookmarkStart w:id="5" w:name="_Hlk50628521"/>
                    <w:bookmarkStart w:id="6" w:name="_Hlk50628522"/>
                    <w:bookmarkStart w:id="7" w:name="_Hlk50628523"/>
                    <w:r w:rsidRPr="00A647D6">
                      <w:rPr>
                        <w:rFonts w:ascii="Arimo" w:hAnsi="Arimo" w:cs="Arimo"/>
                        <w:sz w:val="16"/>
                        <w:szCs w:val="16"/>
                      </w:rPr>
                      <w:t>ul. Krakowskie Przedmieście 26/28, 00-927 W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arszawa</w:t>
                    </w:r>
                  </w:p>
                  <w:p w14:paraId="09945564" w14:textId="77777777" w:rsidR="00BD04D5" w:rsidRPr="00C47783" w:rsidRDefault="00BD04D5" w:rsidP="00BD04D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 w:rsidRPr="00C47783">
                      <w:rPr>
                        <w:rFonts w:ascii="Arimo" w:hAnsi="Arimo" w:cs="Arimo"/>
                        <w:sz w:val="16"/>
                        <w:szCs w:val="16"/>
                      </w:rPr>
                      <w:t>tel.: (+48) 22 55 20</w:t>
                    </w:r>
                    <w:r w:rsidR="002B3F09">
                      <w:rPr>
                        <w:rFonts w:ascii="Arimo" w:hAnsi="Arimo" w:cs="Arimo"/>
                        <w:sz w:val="16"/>
                        <w:szCs w:val="16"/>
                      </w:rPr>
                      <w:t> </w:t>
                    </w:r>
                    <w:r w:rsidRPr="00C47783">
                      <w:rPr>
                        <w:rFonts w:ascii="Arimo" w:hAnsi="Arimo" w:cs="Arimo"/>
                        <w:sz w:val="16"/>
                        <w:szCs w:val="16"/>
                      </w:rPr>
                      <w:t>415</w:t>
                    </w:r>
                    <w:r w:rsidR="002B3F09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, </w:t>
                    </w:r>
                    <w:r w:rsidR="004B14BA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(+48) </w:t>
                    </w:r>
                    <w:r w:rsidR="002B3F09" w:rsidRPr="002B3F09">
                      <w:rPr>
                        <w:rFonts w:ascii="Arimo" w:hAnsi="Arimo" w:cs="Arimo"/>
                        <w:sz w:val="16"/>
                        <w:szCs w:val="16"/>
                      </w:rPr>
                      <w:t>22 55 24 528</w:t>
                    </w:r>
                  </w:p>
                  <w:p w14:paraId="1A9C92D4" w14:textId="77777777" w:rsidR="00BD04D5" w:rsidRPr="002B3F09" w:rsidRDefault="00BD04D5" w:rsidP="00BD04D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 w:rsidRPr="002B3F09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e-mail: </w:t>
                    </w:r>
                    <w:hyperlink r:id="rId2" w:history="1">
                      <w:r w:rsidRPr="002B3F09">
                        <w:rPr>
                          <w:rStyle w:val="Hipercze"/>
                          <w:rFonts w:ascii="Arimo" w:hAnsi="Arimo" w:cs="Arimo"/>
                          <w:color w:val="auto"/>
                          <w:sz w:val="16"/>
                          <w:szCs w:val="16"/>
                          <w:u w:val="none"/>
                        </w:rPr>
                        <w:t>dziekanat.wh@uw.edu.pl</w:t>
                      </w:r>
                    </w:hyperlink>
                    <w:bookmarkEnd w:id="4"/>
                    <w:bookmarkEnd w:id="5"/>
                    <w:bookmarkEnd w:id="6"/>
                    <w:bookmarkEnd w:id="7"/>
                    <w:r w:rsidRPr="002B3F09">
                      <w:rPr>
                        <w:rFonts w:ascii="Arimo" w:hAnsi="Arimo" w:cs="Arimo"/>
                        <w:sz w:val="16"/>
                        <w:szCs w:val="16"/>
                      </w:rPr>
                      <w:br/>
                      <w:t>www.historia.uw.edu.pl</w:t>
                    </w:r>
                  </w:p>
                  <w:p w14:paraId="03B99D05" w14:textId="77777777" w:rsidR="00BF5021" w:rsidRPr="002B3F09" w:rsidRDefault="00BF5021" w:rsidP="00BF5021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DF6E" w14:textId="77777777" w:rsidR="00385D78" w:rsidRDefault="00385D78" w:rsidP="000C6A39">
      <w:pPr>
        <w:spacing w:after="0" w:line="240" w:lineRule="auto"/>
      </w:pPr>
      <w:r>
        <w:separator/>
      </w:r>
    </w:p>
  </w:footnote>
  <w:footnote w:type="continuationSeparator" w:id="0">
    <w:p w14:paraId="5D580183" w14:textId="77777777" w:rsidR="00385D78" w:rsidRDefault="00385D78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D615" w14:textId="6C3B29C0"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5BA8" w14:textId="34BDA316" w:rsidR="00273DF1" w:rsidRDefault="00273DF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A26520A" wp14:editId="15D9E0D8">
          <wp:simplePos x="0" y="0"/>
          <wp:positionH relativeFrom="column">
            <wp:posOffset>114300</wp:posOffset>
          </wp:positionH>
          <wp:positionV relativeFrom="paragraph">
            <wp:posOffset>518160</wp:posOffset>
          </wp:positionV>
          <wp:extent cx="4961028" cy="1107802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ydział Historii - Dziekan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1028" cy="1107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483E"/>
    <w:multiLevelType w:val="multilevel"/>
    <w:tmpl w:val="50BA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934C3"/>
    <w:multiLevelType w:val="multilevel"/>
    <w:tmpl w:val="CA42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31B89"/>
    <w:multiLevelType w:val="multilevel"/>
    <w:tmpl w:val="036C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917FC6"/>
    <w:multiLevelType w:val="multilevel"/>
    <w:tmpl w:val="21BC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AC59F1"/>
    <w:multiLevelType w:val="multilevel"/>
    <w:tmpl w:val="6392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39"/>
    <w:rsid w:val="00056EE6"/>
    <w:rsid w:val="000A5EA5"/>
    <w:rsid w:val="000C6A39"/>
    <w:rsid w:val="000D47C0"/>
    <w:rsid w:val="001513F7"/>
    <w:rsid w:val="00167BFB"/>
    <w:rsid w:val="001B1FBA"/>
    <w:rsid w:val="001B5BF7"/>
    <w:rsid w:val="00206BFF"/>
    <w:rsid w:val="00235FBF"/>
    <w:rsid w:val="00273DF1"/>
    <w:rsid w:val="002A394E"/>
    <w:rsid w:val="002B3F09"/>
    <w:rsid w:val="002C2A70"/>
    <w:rsid w:val="00320D68"/>
    <w:rsid w:val="00327CA4"/>
    <w:rsid w:val="00365956"/>
    <w:rsid w:val="00385D78"/>
    <w:rsid w:val="003950B6"/>
    <w:rsid w:val="00430BB5"/>
    <w:rsid w:val="004B14BA"/>
    <w:rsid w:val="005077D0"/>
    <w:rsid w:val="00570F1B"/>
    <w:rsid w:val="006421F7"/>
    <w:rsid w:val="00653274"/>
    <w:rsid w:val="006D236F"/>
    <w:rsid w:val="006E4F2D"/>
    <w:rsid w:val="007136A2"/>
    <w:rsid w:val="00737BB0"/>
    <w:rsid w:val="007F78A7"/>
    <w:rsid w:val="00862231"/>
    <w:rsid w:val="008F5755"/>
    <w:rsid w:val="009059E5"/>
    <w:rsid w:val="00947B47"/>
    <w:rsid w:val="009A5701"/>
    <w:rsid w:val="009B6298"/>
    <w:rsid w:val="009F4C71"/>
    <w:rsid w:val="00A418C5"/>
    <w:rsid w:val="00B157D7"/>
    <w:rsid w:val="00B31F92"/>
    <w:rsid w:val="00B43D84"/>
    <w:rsid w:val="00B61528"/>
    <w:rsid w:val="00BD04D5"/>
    <w:rsid w:val="00BE0F70"/>
    <w:rsid w:val="00BF5021"/>
    <w:rsid w:val="00C01E0C"/>
    <w:rsid w:val="00C41535"/>
    <w:rsid w:val="00C54DF3"/>
    <w:rsid w:val="00D362FF"/>
    <w:rsid w:val="00D52B5F"/>
    <w:rsid w:val="00D807E0"/>
    <w:rsid w:val="00D827F0"/>
    <w:rsid w:val="00D83E72"/>
    <w:rsid w:val="00DA7510"/>
    <w:rsid w:val="00DD3FD5"/>
    <w:rsid w:val="00DE6890"/>
    <w:rsid w:val="00E375EE"/>
    <w:rsid w:val="00E5303B"/>
    <w:rsid w:val="00EF5225"/>
    <w:rsid w:val="00F17035"/>
    <w:rsid w:val="00F36C28"/>
    <w:rsid w:val="00F45F4B"/>
    <w:rsid w:val="00F65EA3"/>
    <w:rsid w:val="00FA1225"/>
    <w:rsid w:val="00FF0E3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2712F"/>
  <w15:docId w15:val="{3B90CADE-ABBC-46B2-8348-66B25808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FBF"/>
  </w:style>
  <w:style w:type="paragraph" w:styleId="Nagwek2">
    <w:name w:val="heading 2"/>
    <w:basedOn w:val="Normalny"/>
    <w:link w:val="Nagwek2Znak"/>
    <w:uiPriority w:val="9"/>
    <w:qFormat/>
    <w:rsid w:val="00C54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F78A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54D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C5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4DF3"/>
    <w:rPr>
      <w:b/>
      <w:bCs/>
    </w:rPr>
  </w:style>
  <w:style w:type="character" w:styleId="Uwydatnienie">
    <w:name w:val="Emphasis"/>
    <w:basedOn w:val="Domylnaczcionkaakapitu"/>
    <w:uiPriority w:val="20"/>
    <w:qFormat/>
    <w:rsid w:val="00C54D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ziekanat.wh@uw.edu.pl" TargetMode="External"/><Relationship Id="rId1" Type="http://schemas.openxmlformats.org/officeDocument/2006/relationships/hyperlink" Target="mailto:dziekanat.wh@uw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Agata Ignatowicz-Bocian</cp:lastModifiedBy>
  <cp:revision>4</cp:revision>
  <dcterms:created xsi:type="dcterms:W3CDTF">2025-09-01T13:20:00Z</dcterms:created>
  <dcterms:modified xsi:type="dcterms:W3CDTF">2025-09-01T13:38:00Z</dcterms:modified>
</cp:coreProperties>
</file>